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9613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Sachverhalt 1)</w:t>
      </w:r>
    </w:p>
    <w:p w14:paraId="75053A08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4902AA8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1.)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Arbeitsziel:</w:t>
      </w:r>
    </w:p>
    <w:p w14:paraId="09C162A6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Es gilt zu prüfen, ob die Entscheidung des Rates der kreisfreien Stadt </w:t>
      </w:r>
      <w:proofErr w:type="spellStart"/>
      <w:r>
        <w:rPr>
          <w:rFonts w:ascii="Calibri" w:hAnsi="Calibri" w:cs="Calibri"/>
        </w:rPr>
        <w:t>Maulborn</w:t>
      </w:r>
      <w:proofErr w:type="spellEnd"/>
      <w:r>
        <w:rPr>
          <w:rFonts w:ascii="Calibri" w:hAnsi="Calibri" w:cs="Calibri"/>
        </w:rPr>
        <w:t xml:space="preserve">, die Sanierung des Schlacht- und Viehhof zu priorisieren, materiell rechtmäßig ist. </w:t>
      </w:r>
    </w:p>
    <w:p w14:paraId="5AF23832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Und ob möglicherweise das Schwimmbad oder die Hauptschule Priorität haben sollten.</w:t>
      </w:r>
    </w:p>
    <w:p w14:paraId="1962B15B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7A3AA5B4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Es wird davon ausgegangen das die formelle Rechtmäßigkeit gegeben ist, da in der Aufgabenstellung nur nach der materiellen Rechtmäßigkeit gefragt wird. </w:t>
      </w:r>
    </w:p>
    <w:p w14:paraId="36F3ECB1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46CC1758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2.)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Gutachterliche Prüfung</w:t>
      </w:r>
    </w:p>
    <w:p w14:paraId="1EA86B07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2.1)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Rechtsgrundlage:</w:t>
      </w:r>
    </w:p>
    <w:p w14:paraId="3E1EC023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Als rechtliche Grundlage kommt hier der Grundsatz der Sel</w:t>
      </w:r>
      <w:r>
        <w:rPr>
          <w:rFonts w:ascii="Calibri" w:hAnsi="Calibri" w:cs="Calibri"/>
        </w:rPr>
        <w:t>bstverwaltung der Gemeinden inf</w:t>
      </w:r>
      <w:r>
        <w:rPr>
          <w:rFonts w:ascii="Calibri" w:hAnsi="Calibri" w:cs="Calibri"/>
        </w:rPr>
        <w:t>rage.</w:t>
      </w:r>
    </w:p>
    <w:p w14:paraId="3CBDDB54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-Art. 57 Abs. 3 NV, §1,2 Abs. 2 </w:t>
      </w:r>
      <w:proofErr w:type="spellStart"/>
      <w:r>
        <w:rPr>
          <w:rFonts w:ascii="Calibri" w:hAnsi="Calibri" w:cs="Calibri"/>
        </w:rPr>
        <w:t>NKomVG</w:t>
      </w:r>
      <w:proofErr w:type="spellEnd"/>
    </w:p>
    <w:p w14:paraId="5A93EC79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  <w:bookmarkStart w:id="0" w:name="_GoBack"/>
      <w:bookmarkEnd w:id="0"/>
    </w:p>
    <w:p w14:paraId="77E3B851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2.2) Formelle Rechtmäßigkeit</w:t>
      </w:r>
    </w:p>
    <w:p w14:paraId="7622FDDF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>Es wird davon ausgegangen das die formelle Rechtmäßigkeit gegeben ist, da in der Aufgabenstellung nur nach der materiellen Rechtmäßigkeit gefragt wird.</w:t>
      </w:r>
    </w:p>
    <w:p w14:paraId="37725D5B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397443F3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Ansonsten lässt sich argumentieren: Aus den hoheitlichen Rechten die sich aus Art. 57 Abs. 3 NV, §1,2 Abs. 2 </w:t>
      </w:r>
      <w:proofErr w:type="spellStart"/>
      <w:r>
        <w:rPr>
          <w:rFonts w:ascii="Calibri" w:hAnsi="Calibri" w:cs="Calibri"/>
        </w:rPr>
        <w:t>NKomVG</w:t>
      </w:r>
      <w:proofErr w:type="spellEnd"/>
      <w:r>
        <w:rPr>
          <w:rFonts w:ascii="Calibri" w:hAnsi="Calibri" w:cs="Calibri"/>
        </w:rPr>
        <w:t xml:space="preserve"> herleiten, ist soweit die formelle Rechtmäßigkeit gegeben.</w:t>
      </w:r>
    </w:p>
    <w:p w14:paraId="3C5F9D97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3B2D7B4E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2.3) Materielle Rechtmäßigkeit.</w:t>
      </w:r>
    </w:p>
    <w:p w14:paraId="5AE023D2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63CB09E0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BentonSans-Regular" w:hAnsi="BentonSans-Regular" w:cs="Calibri"/>
          <w:color w:val="333333"/>
          <w:highlight w:val="yellow"/>
        </w:rPr>
        <w:t xml:space="preserve">Weiterhin besagt </w:t>
      </w:r>
      <w:r>
        <w:rPr>
          <w:rFonts w:ascii="Calibri" w:hAnsi="Calibri" w:cs="Calibri"/>
          <w:highlight w:val="yellow"/>
        </w:rPr>
        <w:t xml:space="preserve">§ 4 </w:t>
      </w:r>
      <w:proofErr w:type="spellStart"/>
      <w:r>
        <w:rPr>
          <w:rFonts w:ascii="Calibri" w:hAnsi="Calibri" w:cs="Calibri"/>
          <w:highlight w:val="yellow"/>
        </w:rPr>
        <w:t>NKomVG</w:t>
      </w:r>
      <w:proofErr w:type="spellEnd"/>
      <w:r>
        <w:rPr>
          <w:rFonts w:ascii="Calibri" w:hAnsi="Calibri" w:cs="Calibri"/>
          <w:highlight w:val="yellow"/>
        </w:rPr>
        <w:t>. Die Kommunen erfüllen ihre Aufgaben im eigenen oder im übertragenen Wirkungskreis. </w:t>
      </w:r>
      <w:r>
        <w:rPr>
          <w:rFonts w:ascii="BentonSans-Regular" w:hAnsi="BentonSans-Regular" w:cs="Calibri"/>
          <w:color w:val="333333"/>
          <w:sz w:val="19"/>
          <w:szCs w:val="19"/>
          <w:highlight w:val="yellow"/>
          <w:vertAlign w:val="superscript"/>
        </w:rPr>
        <w:t>2</w:t>
      </w:r>
      <w:r>
        <w:rPr>
          <w:rFonts w:ascii="Calibri" w:hAnsi="Calibri" w:cs="Calibri"/>
          <w:highlight w:val="yellow"/>
        </w:rPr>
        <w:t>Sie stellen in den Grenzen ihrer Leistungsfähigkeit die für ihre Einwohnerinnen und Einwohner erforderlichen sozialen, kulturellen, sportlichen und wirtschaftlichen öffentlichen Einrichtungen bereit.</w:t>
      </w:r>
    </w:p>
    <w:p w14:paraId="7F46C75D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95B37B0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Es gibt gemäß §4 S.1 erfüllen die Kommun ihre Aufgaben im eigenen und übertragen Wirkungskreis.</w:t>
      </w:r>
    </w:p>
    <w:p w14:paraId="1B74535A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Hier gilt es nun zu prüfen welchem Wirkungskreis die Aufgabe zuzuordnen ist. </w:t>
      </w:r>
    </w:p>
    <w:p w14:paraId="58AE5333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§5 Abs. 2 </w:t>
      </w:r>
      <w:proofErr w:type="spellStart"/>
      <w:r>
        <w:rPr>
          <w:rFonts w:ascii="Calibri" w:hAnsi="Calibri" w:cs="Calibri"/>
        </w:rPr>
        <w:t>NKomVG</w:t>
      </w:r>
      <w:proofErr w:type="spellEnd"/>
      <w:r>
        <w:rPr>
          <w:rFonts w:ascii="Calibri" w:hAnsi="Calibri" w:cs="Calibri"/>
        </w:rPr>
        <w:t xml:space="preserve">: Im eigenen Wirkungskreis sind die Kommunen nur an die Rechtsvorschriften gebunden. </w:t>
      </w:r>
    </w:p>
    <w:p w14:paraId="32BAAB83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3E528E37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Schlachthof:</w:t>
      </w:r>
    </w:p>
    <w:p w14:paraId="0026B4B8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7EF9710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 xml:space="preserve">§13 </w:t>
      </w:r>
      <w:proofErr w:type="spellStart"/>
      <w:r>
        <w:rPr>
          <w:rFonts w:ascii="Calibri" w:hAnsi="Calibri" w:cs="Calibri"/>
          <w:highlight w:val="yellow"/>
        </w:rPr>
        <w:t>NKomVG</w:t>
      </w:r>
      <w:proofErr w:type="spellEnd"/>
      <w:r>
        <w:rPr>
          <w:rFonts w:ascii="Calibri" w:hAnsi="Calibri" w:cs="Calibri"/>
          <w:highlight w:val="yellow"/>
        </w:rPr>
        <w:t xml:space="preserve"> S. 1 Nr.2 C besagt</w:t>
      </w:r>
    </w:p>
    <w:p w14:paraId="6D831EB2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BentonSans-Regular" w:hAnsi="BentonSans-Regular" w:cs="Calibri"/>
          <w:color w:val="333333"/>
          <w:sz w:val="19"/>
          <w:szCs w:val="19"/>
          <w:shd w:val="clear" w:color="auto" w:fill="FFFFFF"/>
          <w:vertAlign w:val="superscript"/>
        </w:rPr>
        <w:t>1</w:t>
      </w:r>
      <w:r>
        <w:rPr>
          <w:rFonts w:ascii="BentonSans-Regular" w:hAnsi="BentonSans-Regular" w:cs="Calibri"/>
          <w:color w:val="333333"/>
          <w:shd w:val="clear" w:color="auto" w:fill="FFFFFF"/>
        </w:rPr>
        <w:t xml:space="preserve">Die Kommunen können im eigenen Wirkungskreis durch Satzung, </w:t>
      </w:r>
      <w:r>
        <w:rPr>
          <w:rFonts w:ascii="Calibri" w:hAnsi="Calibri" w:cs="Calibri"/>
        </w:rPr>
        <w:t xml:space="preserve">anordnen (Anschlusszwang) sowie die Benutzung der öffentlichen Schlachthöfe </w:t>
      </w:r>
      <w:r>
        <w:rPr>
          <w:rFonts w:ascii="BentonSans-Regular" w:hAnsi="BentonSans-Regular" w:cs="Calibri"/>
          <w:color w:val="333333"/>
          <w:shd w:val="clear" w:color="auto" w:fill="FFFFFF"/>
        </w:rPr>
        <w:t>vorschreiben (Benutzungszwang),</w:t>
      </w:r>
    </w:p>
    <w:p w14:paraId="5A3D91BE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BentonSans-Regular" w:hAnsi="BentonSans-Regular" w:cs="Calibri"/>
          <w:color w:val="333333"/>
        </w:rPr>
      </w:pPr>
      <w:r>
        <w:rPr>
          <w:rFonts w:ascii="BentonSans-Regular" w:hAnsi="BentonSans-Regular" w:cs="Calibri"/>
          <w:color w:val="333333"/>
          <w:shd w:val="clear" w:color="auto" w:fill="FFFFFF"/>
        </w:rPr>
        <w:t>wenn sie ein dringendes öffentliches Bedürfnis dafür feststellen. </w:t>
      </w:r>
      <w:r>
        <w:rPr>
          <w:rFonts w:ascii="BentonSans-Regular" w:hAnsi="BentonSans-Regular" w:cs="Calibri"/>
          <w:color w:val="333333"/>
          <w:sz w:val="19"/>
          <w:szCs w:val="19"/>
          <w:shd w:val="clear" w:color="auto" w:fill="FFFFFF"/>
          <w:vertAlign w:val="superscript"/>
        </w:rPr>
        <w:t>2</w:t>
      </w:r>
      <w:r>
        <w:rPr>
          <w:rFonts w:ascii="BentonSans-Regular" w:hAnsi="BentonSans-Regular" w:cs="Calibri"/>
          <w:color w:val="333333"/>
          <w:shd w:val="clear" w:color="auto" w:fill="FFFFFF"/>
        </w:rPr>
        <w:t>Die Satzung kann Ausnahmen vom Anschluss- oder Benutzungszwang zulassen und den Zwang auf bestimmte Gebietsteile der Kommune und auf bestimmte Gruppen von Personen oder Grundstücken beschränken.</w:t>
      </w:r>
    </w:p>
    <w:p w14:paraId="070D0244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191C8ED2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BentonSans-Regular" w:hAnsi="BentonSans-Regular" w:cs="Calibri"/>
          <w:color w:val="333333"/>
        </w:rPr>
      </w:pPr>
      <w:r>
        <w:rPr>
          <w:rFonts w:ascii="BentonSans-Regular" w:hAnsi="BentonSans-Regular" w:cs="Calibri"/>
          <w:color w:val="333333"/>
          <w:shd w:val="clear" w:color="auto" w:fill="FFFFFF"/>
        </w:rPr>
        <w:t>Zwischenergebnis:</w:t>
      </w:r>
    </w:p>
    <w:p w14:paraId="779FD6E4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BentonSans-Regular" w:hAnsi="BentonSans-Regular" w:cs="Calibri"/>
          <w:color w:val="333333"/>
          <w:shd w:val="clear" w:color="auto" w:fill="FFFFFF"/>
        </w:rPr>
        <w:lastRenderedPageBreak/>
        <w:t xml:space="preserve">Da hier keine Verpflichtung der Gemeinde erwähnt wird. Gehört der Betrieb von Schlachthöfen zu den </w:t>
      </w:r>
      <w:r>
        <w:rPr>
          <w:rFonts w:ascii="Calibri" w:hAnsi="Calibri" w:cs="Calibri"/>
          <w:color w:val="333333"/>
          <w:shd w:val="clear" w:color="auto" w:fill="FFFFFF"/>
        </w:rPr>
        <w:t>freiwillig übernommenen Selbstverwaltungsaufgaben.</w:t>
      </w:r>
    </w:p>
    <w:p w14:paraId="4A03E968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131E08EF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Schwimmbad:</w:t>
      </w:r>
    </w:p>
    <w:p w14:paraId="02497D9D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4 </w:t>
      </w:r>
      <w:proofErr w:type="spellStart"/>
      <w:r>
        <w:rPr>
          <w:rFonts w:ascii="Calibri" w:hAnsi="Calibri" w:cs="Calibri"/>
        </w:rPr>
        <w:t>NkomVG</w:t>
      </w:r>
      <w:proofErr w:type="spellEnd"/>
      <w:r>
        <w:rPr>
          <w:rFonts w:ascii="Calibri" w:hAnsi="Calibri" w:cs="Calibri"/>
        </w:rPr>
        <w:t xml:space="preserve"> besagt. Die Kommunen erfüllen ihre Aufgaben im eigenen oder im übertragenen Wirkungskreis. </w:t>
      </w:r>
      <w:r>
        <w:rPr>
          <w:rFonts w:ascii="BentonSans-Regular" w:hAnsi="BentonSans-Regular" w:cs="Calibri"/>
          <w:color w:val="333333"/>
          <w:sz w:val="19"/>
          <w:szCs w:val="19"/>
          <w:shd w:val="clear" w:color="auto" w:fill="FFFFFF"/>
          <w:vertAlign w:val="superscript"/>
        </w:rPr>
        <w:t>2</w:t>
      </w:r>
      <w:r>
        <w:rPr>
          <w:rFonts w:ascii="Calibri" w:hAnsi="Calibri" w:cs="Calibri"/>
        </w:rPr>
        <w:t>Sie stellen in den Grenzen ihrer Leistungsfähigkeit die für ihre Einwohnerinnen und Einwohner erforderlichen sozialen, kulturellen, sportlichen und wirtschaftlichen öffentlichen Einrichtungen bereit.</w:t>
      </w:r>
    </w:p>
    <w:p w14:paraId="586499C5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266BFB14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Zwischenergebnis:</w:t>
      </w:r>
    </w:p>
    <w:p w14:paraId="178BF6F3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Öffentliche Schwimmbäder gehören </w:t>
      </w:r>
      <w:r>
        <w:rPr>
          <w:rFonts w:ascii="BentonSans-Regular" w:hAnsi="BentonSans-Regular" w:cs="Calibri"/>
          <w:color w:val="333333"/>
          <w:shd w:val="clear" w:color="auto" w:fill="FFFFFF"/>
        </w:rPr>
        <w:t xml:space="preserve">zu den </w:t>
      </w:r>
      <w:r>
        <w:rPr>
          <w:rFonts w:ascii="Calibri" w:hAnsi="Calibri" w:cs="Calibri"/>
          <w:color w:val="333333"/>
          <w:shd w:val="clear" w:color="auto" w:fill="FFFFFF"/>
        </w:rPr>
        <w:t xml:space="preserve">freiwillig übernommenen Selbstverwaltungsaufgaben. </w:t>
      </w:r>
    </w:p>
    <w:p w14:paraId="6F8D8318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22EB201D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Hauptschule:</w:t>
      </w:r>
    </w:p>
    <w:p w14:paraId="313BBDB2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5BE9223D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Gemäß §102 Abs.</w:t>
      </w:r>
      <w:proofErr w:type="gramStart"/>
      <w:r>
        <w:rPr>
          <w:rFonts w:ascii="Calibri" w:hAnsi="Calibri" w:cs="Calibri"/>
          <w:color w:val="333333"/>
          <w:shd w:val="clear" w:color="auto" w:fill="FFFFFF"/>
        </w:rPr>
        <w:t>2  NSchG</w:t>
      </w:r>
      <w:proofErr w:type="gramEnd"/>
      <w:r>
        <w:rPr>
          <w:rFonts w:ascii="Calibri" w:hAnsi="Calibri" w:cs="Calibri"/>
          <w:color w:val="333333"/>
          <w:shd w:val="clear" w:color="auto" w:fill="FFFFFF"/>
        </w:rPr>
        <w:t xml:space="preserve"> Schulträger für die übrigen Schulformen sind  die Landkreise  und die kreisfreien Städte.</w:t>
      </w:r>
    </w:p>
    <w:p w14:paraId="19D3706E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5F8CDF83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Da es sich hier um eine Hauptschule handelt sind die </w:t>
      </w:r>
      <w:proofErr w:type="gramStart"/>
      <w:r>
        <w:rPr>
          <w:rFonts w:ascii="Calibri" w:hAnsi="Calibri" w:cs="Calibri"/>
          <w:color w:val="333333"/>
          <w:shd w:val="clear" w:color="auto" w:fill="FFFFFF"/>
        </w:rPr>
        <w:t>Landkreise  und</w:t>
      </w:r>
      <w:proofErr w:type="gramEnd"/>
      <w:r>
        <w:rPr>
          <w:rFonts w:ascii="Calibri" w:hAnsi="Calibri" w:cs="Calibri"/>
          <w:color w:val="333333"/>
          <w:shd w:val="clear" w:color="auto" w:fill="FFFFFF"/>
        </w:rPr>
        <w:t xml:space="preserve"> die kreisfreien Städte zuständig.</w:t>
      </w:r>
    </w:p>
    <w:p w14:paraId="3A677D3B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2F3C15B4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Maulbron ist laut Sachverhalt eine Kreisfreie Stadt, somit ist die Stadt Maulbron </w:t>
      </w:r>
      <w:proofErr w:type="spellStart"/>
      <w:r>
        <w:rPr>
          <w:rFonts w:ascii="Calibri" w:hAnsi="Calibri" w:cs="Calibri"/>
          <w:color w:val="333333"/>
          <w:shd w:val="clear" w:color="auto" w:fill="FFFFFF"/>
        </w:rPr>
        <w:t>träger</w:t>
      </w:r>
      <w:proofErr w:type="spellEnd"/>
      <w:r>
        <w:rPr>
          <w:rFonts w:ascii="Calibri" w:hAnsi="Calibri" w:cs="Calibri"/>
          <w:color w:val="333333"/>
          <w:shd w:val="clear" w:color="auto" w:fill="FFFFFF"/>
        </w:rPr>
        <w:t xml:space="preserve"> der Hauptschulen. </w:t>
      </w:r>
    </w:p>
    <w:p w14:paraId="2F1968FE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7CDDA080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highlight w:val="yellow"/>
        </w:rPr>
        <w:t>-Eigener Wirkungskreis, gesetzlich….</w:t>
      </w:r>
    </w:p>
    <w:p w14:paraId="5D635299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 xml:space="preserve">§101 Abs. </w:t>
      </w:r>
      <w:proofErr w:type="gramStart"/>
      <w:r>
        <w:rPr>
          <w:rFonts w:ascii="Calibri" w:hAnsi="Calibri" w:cs="Calibri"/>
          <w:highlight w:val="yellow"/>
        </w:rPr>
        <w:t>2  Die</w:t>
      </w:r>
      <w:proofErr w:type="gramEnd"/>
      <w:r>
        <w:rPr>
          <w:rFonts w:ascii="Calibri" w:hAnsi="Calibri" w:cs="Calibri"/>
          <w:highlight w:val="yellow"/>
        </w:rPr>
        <w:t xml:space="preserve"> Schulträgerschaft gehört zum eigenen Wirkungskreis der Schulträger.</w:t>
      </w:r>
    </w:p>
    <w:p w14:paraId="46649A6A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Die Schulträger haben das notwendige Schulangebot und die erforderlichen Schulanlagen vorzuhalten (Schulträgerschaft). § 101 Abs.1 NSchG </w:t>
      </w:r>
    </w:p>
    <w:p w14:paraId="1C849E64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color w:val="333333"/>
          <w:shd w:val="clear" w:color="auto" w:fill="FFFFFF"/>
        </w:rPr>
        <w:t>Gemäß §108 Abs.1 NSchG haben d</w:t>
      </w:r>
      <w:r>
        <w:rPr>
          <w:rFonts w:ascii="Calibri" w:hAnsi="Calibri" w:cs="Calibri"/>
        </w:rPr>
        <w:t xml:space="preserve">ie Schulträger haben die erforderlichen Schulanlagen zu errichten, mit der notwendigen Einrichtung auszustatten und ordnungsgemäß zu unterhalten. 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Zu den erforderlichen Schulanlagen der Schulen mit regionalem oder überregionalem Einzugsbereich gehören auch Schülerwohnheime. </w:t>
      </w:r>
    </w:p>
    <w:p w14:paraId="26BD198D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3F8A0B0B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Zwischenergebnis:</w:t>
      </w:r>
    </w:p>
    <w:p w14:paraId="2DD67027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Sofern das nötige Schulangebot nach § 101 Abs.1 NSchG ohne die Hauptschule nicht garantiert werden kann, ist die Gemeinde dazu verpflichtet die Schule zu reparieren. </w:t>
      </w:r>
    </w:p>
    <w:p w14:paraId="169942C4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10A30E55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14:paraId="5A697E09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Ergebnis:</w:t>
      </w:r>
    </w:p>
    <w:p w14:paraId="1C151117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Da nur Finanzen für eine Aufgabe vorliegen und</w:t>
      </w:r>
    </w:p>
    <w:p w14:paraId="6F3D4F75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Kommunen haben ihre Haushaltswirtschaft so zu planen und zu führen, dass die stetige Erfüllung ihrer Aufgaben gesichert ist. </w:t>
      </w:r>
      <w:r>
        <w:rPr>
          <w:rFonts w:ascii="Calibri" w:hAnsi="Calibri" w:cs="Calibri"/>
          <w:color w:val="333333"/>
          <w:shd w:val="clear" w:color="auto" w:fill="FFFFFF"/>
        </w:rPr>
        <w:t>§</w:t>
      </w:r>
      <w:r>
        <w:rPr>
          <w:rFonts w:ascii="Calibri" w:hAnsi="Calibri" w:cs="Calibri"/>
          <w:color w:val="333333"/>
          <w:shd w:val="clear" w:color="auto" w:fill="FFFFFF"/>
        </w:rPr>
        <w:t xml:space="preserve"> 110 Abs.</w:t>
      </w:r>
      <w:proofErr w:type="gramStart"/>
      <w:r>
        <w:rPr>
          <w:rFonts w:ascii="Calibri" w:hAnsi="Calibri" w:cs="Calibri"/>
          <w:color w:val="333333"/>
          <w:shd w:val="clear" w:color="auto" w:fill="FFFFFF"/>
        </w:rPr>
        <w:t xml:space="preserve">1  </w:t>
      </w:r>
      <w:proofErr w:type="spellStart"/>
      <w:r>
        <w:rPr>
          <w:rFonts w:ascii="Calibri" w:hAnsi="Calibri" w:cs="Calibri"/>
          <w:color w:val="333333"/>
          <w:shd w:val="clear" w:color="auto" w:fill="FFFFFF"/>
        </w:rPr>
        <w:t>NKomVG</w:t>
      </w:r>
      <w:proofErr w:type="spellEnd"/>
      <w:proofErr w:type="gramEnd"/>
    </w:p>
    <w:p w14:paraId="1E1E2CDF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Und aufgrund der Tatsache, dass es sich bei der Schule um eine Pflichtaufgabe handelt ist die Renovierung der Schule vorrangig vor den beiden anderen Aufgaben vorzunehmen. </w:t>
      </w:r>
    </w:p>
    <w:p w14:paraId="06AC3A1C" w14:textId="77777777" w:rsidR="00835703" w:rsidRDefault="00835703" w:rsidP="00835703">
      <w:pPr>
        <w:pStyle w:val="StandardWeb"/>
        <w:spacing w:before="0" w:beforeAutospacing="0" w:after="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Der Beschluss ist materiell unzulässig.</w:t>
      </w:r>
    </w:p>
    <w:p w14:paraId="183E0882" w14:textId="77777777" w:rsidR="008949CC" w:rsidRDefault="008949CC"/>
    <w:sectPr w:rsidR="008949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03"/>
    <w:rsid w:val="00835703"/>
    <w:rsid w:val="0089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E44F"/>
  <w15:chartTrackingRefBased/>
  <w15:docId w15:val="{2F2CCF3D-0443-430B-B5DA-188E2DA0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3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E715C4C4B21C4FB367D1EE65A74AA0" ma:contentTypeVersion="9" ma:contentTypeDescription="Ein neues Dokument erstellen." ma:contentTypeScope="" ma:versionID="1c8b6a6dc6a818d760231d22ccd99d93">
  <xsd:schema xmlns:xsd="http://www.w3.org/2001/XMLSchema" xmlns:xs="http://www.w3.org/2001/XMLSchema" xmlns:p="http://schemas.microsoft.com/office/2006/metadata/properties" xmlns:ns3="b39797c8-44b4-4ba9-810c-5e3930cfced8" targetNamespace="http://schemas.microsoft.com/office/2006/metadata/properties" ma:root="true" ma:fieldsID="7d50fc1c3eff212703a53f234f7a05e9" ns3:_="">
    <xsd:import namespace="b39797c8-44b4-4ba9-810c-5e3930cfce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797c8-44b4-4ba9-810c-5e3930cfc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12560B-DD95-4F53-B9E3-57623724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797c8-44b4-4ba9-810c-5e3930cfc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31B4E-AACB-4C54-A35C-45ECE4D50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8C97C-FDAE-4425-ACBA-BB6FD51B7B7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39797c8-44b4-4ba9-810c-5e3930cfc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</dc:creator>
  <cp:keywords/>
  <dc:description/>
  <cp:lastModifiedBy>Michel Andre Caignard De Araujo</cp:lastModifiedBy>
  <cp:revision>1</cp:revision>
  <dcterms:created xsi:type="dcterms:W3CDTF">2023-12-15T16:05:00Z</dcterms:created>
  <dcterms:modified xsi:type="dcterms:W3CDTF">2023-12-15T16:08:00Z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0x0101003FE715C4C4B21C4FB367D1EE65A74AA0</vt:lpwstr>
  </property>
</Properties>
</file>